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6739876</wp:posOffset>
                </wp:positionV>
                <wp:extent cx="7034094" cy="268614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094" cy="2686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 xml:space="preserve">Sample Text Dependent Questions: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u w:val="single"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Below is a sampling of text dependent questions for Chapter 14 of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>The Jungle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. While these questions may be used during the lesson, the teacher should craft additional questions to scaffold the learning to help students gain deeper understandings of the reading.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Towards the end of the chapter, the author spends some time describing the child, Antanas. What makes this child the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least unfortunate member of that family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?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the second paragraph, the author uses the phrase,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ingenious apparatus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 What does this mean as it is used in the text? What is the irony in the use of this word?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the third paragraph, the duties of the job are described. For example, it says,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 meat would be shoveled into carts, and the man who did the shoveling would not trouble to lift out a rat even when he saw one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…”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What does this imply about the people forced to work these jobs? Use evidence from the text to support your response.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paragraph 6, the author describes the situation as a game. Why does he choose to make this sort of comparison?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What are the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unseen enemies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mentioned in the last line of the chapter?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.0pt;margin-top:530.7pt;width:553.9pt;height:211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 xml:space="preserve">Sample Text Dependent Questions: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Below is a sampling of text dependent questions for Chapter 14 of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>The Jungle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. While these questions may be used during the lesson, the teacher should craft additional questions to scaffold the learning to help students gain deeper understandings of the reading.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Towards the end of the chapter, the author spends some time describing the child, Antanas. What makes this child the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least unfortunate member of that family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?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the second paragraph, the author uses the phrase,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ingenious apparatus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. What does this mean as it is used in the text? What is the irony in the use of this word?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the third paragraph, the duties of the job are described. For example, it says,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the meat would be shoveled into carts, and the man who did the shoveling would not trouble to lift out a rat even when he saw one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…”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What does this imply about the people forced to work these jobs? Use evidence from the text to support your response.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paragraph 6, the author describes the situation as a game. Why does he choose to make this sort of comparison?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What are the 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unseen enemies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mentioned in the last line of the chapter?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-450850</wp:posOffset>
                </wp:positionH>
                <wp:positionV relativeFrom="page">
                  <wp:posOffset>612140</wp:posOffset>
                </wp:positionV>
                <wp:extent cx="7034094" cy="30398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094" cy="3039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 xml:space="preserve">Sample Text Dependent Questions: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Below is a sampling of text dependent questions for Chapter 14 of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>The Jungle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. While these questions may be used during the lesson, the teacher should craft additional questions to scaffold the learning to help students gain deeper understandings of the reading.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Towards the end of the chapter, the author spends some time describing the child, Antanas. What makes this child the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least unfortunate member of that family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?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the second paragraph, the author uses the phrase,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ingenious apparatus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 What does this mean as it is used in the text? What is the irony in the use of this word?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the third paragraph, the duties of the job are described. For example, it says,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 meat would be shoveled into carts, and the man who did the shoveling would not trouble to lift out a rat even when he saw one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…”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What does this imply about the people forced to work these jobs? Use evidence from the text to support your response.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paragraph 6, the author describes the situation as a game. Why does he choose to make this sort of comparison?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What are the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unseen enemies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mentioned in the last line of the chapter?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5.5pt;margin-top:48.2pt;width:553.9pt;height:239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 xml:space="preserve">Sample Text Dependent Questions: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Below is a sampling of text dependent questions for Chapter 14 of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>The Jungle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. While these questions may be used during the lesson, the teacher should craft additional questions to scaffold the learning to help students gain deeper understandings of the reading.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Towards the end of the chapter, the author spends some time describing the child, Antanas. What makes this child the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least unfortunate member of that family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?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the second paragraph, the author uses the phrase,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ingenious apparatus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. What does this mean as it is used in the text? What is the irony in the use of this word?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the third paragraph, the duties of the job are described. For example, it says,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the meat would be shoveled into carts, and the man who did the shoveling would not trouble to lift out a rat even when he saw one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…”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What does this imply about the people forced to work these jobs? Use evidence from the text to support your response.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paragraph 6, the author describes the situation as a game. Why does he choose to make this sort of comparison?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What are the 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unseen enemies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mentioned in the last line of the chapter?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-450850</wp:posOffset>
                </wp:positionH>
                <wp:positionV relativeFrom="line">
                  <wp:posOffset>2585164</wp:posOffset>
                </wp:positionV>
                <wp:extent cx="6832600" cy="308791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3087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 xml:space="preserve">Sample Text Dependent Questions: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Below is a sampling of text dependent questions for Chapter 14 of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 w:color="000000"/>
                                <w:rtl w:val="0"/>
                                <w:lang w:val="en-US"/>
                              </w:rPr>
                              <w:t>The Jungle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. While these questions may be used during the lesson, the teacher should craft additional questions to scaffold the learning to help students gain deeper understandings of the reading.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Towards the end of the chapter, the author spends some time describing the child, Antanas. What makes this child the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least unfortunate member of that family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?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the second paragraph, the author uses the phrase,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ingenious apparatus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 What does this mean as it is used in the text? What is the irony in the use of this word?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the third paragraph, the duties of the job are described. For example, it says,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 meat would be shoveled into carts, and the man who did the shoveling would not trouble to lift out a rat even when he saw one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…”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What does this imply about the people forced to work these jobs? Use evidence from the text to support your response.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 paragraph 6, the author describes the situation as a game. Why does he choose to make this sort of comparison?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What are the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unseen enemies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mentioned in the last line of the chapter?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5.5pt;margin-top:203.6pt;width:538.0pt;height:24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 xml:space="preserve">Sample Text Dependent Questions: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Below is a sampling of text dependent questions for Chapter 14 of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 w:color="000000"/>
                          <w:rtl w:val="0"/>
                          <w:lang w:val="en-US"/>
                        </w:rPr>
                        <w:t>The Jungle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. While these questions may be used during the lesson, the teacher should craft additional questions to scaffold the learning to help students gain deeper understandings of the reading.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Towards the end of the chapter, the author spends some time describing the child, Antanas. What makes this child the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least unfortunate member of that family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?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the second paragraph, the author uses the phrase,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ingenious apparatus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. What does this mean as it is used in the text? What is the irony in the use of this word?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the third paragraph, the duties of the job are described. For example, it says,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the meat would be shoveled into carts, and the man who did the shoveling would not trouble to lift out a rat even when he saw one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…” 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What does this imply about the people forced to work these jobs? Use evidence from the text to support your response.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0" w:after="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In paragraph 6, the author describes the situation as a game. Why does he choose to make this sort of comparison?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What are the 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unseen enemies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mentioned in the last line of the chapter?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4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